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E1" w:rsidRPr="00216FE1" w:rsidRDefault="00216FE1" w:rsidP="00216FE1">
      <w:pPr>
        <w:shd w:val="clear" w:color="auto" w:fill="F9F7F7"/>
        <w:spacing w:after="0" w:line="240" w:lineRule="auto"/>
        <w:jc w:val="center"/>
        <w:rPr>
          <w:rFonts w:ascii="Arial" w:eastAsia="Times New Roman" w:hAnsi="Arial" w:cs="Arial"/>
          <w:b/>
          <w:bCs/>
          <w:color w:val="0B4575"/>
          <w:sz w:val="21"/>
          <w:szCs w:val="21"/>
          <w:lang w:eastAsia="pt-BR"/>
        </w:rPr>
      </w:pPr>
      <w:bookmarkStart w:id="0" w:name="_GoBack"/>
      <w:bookmarkEnd w:id="0"/>
      <w:r w:rsidRPr="00216FE1">
        <w:rPr>
          <w:rFonts w:ascii="Arial" w:eastAsia="Times New Roman" w:hAnsi="Arial" w:cs="Arial"/>
          <w:b/>
          <w:bCs/>
          <w:color w:val="0B4575"/>
          <w:sz w:val="21"/>
          <w:szCs w:val="21"/>
          <w:lang w:eastAsia="pt-BR"/>
        </w:rPr>
        <w:t xml:space="preserve">Perguntas mais </w:t>
      </w:r>
      <w:proofErr w:type="spellStart"/>
      <w:r w:rsidRPr="00216FE1">
        <w:rPr>
          <w:rFonts w:ascii="Arial" w:eastAsia="Times New Roman" w:hAnsi="Arial" w:cs="Arial"/>
          <w:b/>
          <w:bCs/>
          <w:color w:val="0B4575"/>
          <w:sz w:val="21"/>
          <w:szCs w:val="21"/>
          <w:lang w:eastAsia="pt-BR"/>
        </w:rPr>
        <w:t>freqüentes</w:t>
      </w:r>
      <w:proofErr w:type="spellEnd"/>
      <w:r w:rsidRPr="00216FE1">
        <w:rPr>
          <w:rFonts w:ascii="Arial" w:eastAsia="Times New Roman" w:hAnsi="Arial" w:cs="Arial"/>
          <w:b/>
          <w:bCs/>
          <w:color w:val="0B4575"/>
          <w:sz w:val="21"/>
          <w:szCs w:val="21"/>
          <w:lang w:eastAsia="pt-BR"/>
        </w:rPr>
        <w:t xml:space="preserve"> sobre Isenção previdenciária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1. O que é isenção previdenciária?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Isenção previdenciária da cota patronal é a permissão de não recolher ao Instituto Nacional de Seguro Social (INSS) contribuição de 20% sobre a folha de salários da entidade.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br/>
        <w:t>2. Toda entidade filantrópica tem isenção previdenciária?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Não.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3. Por quê?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Para obter a isenção, a entidade precisa atender a uma série de exigências do Instituto Nacional do Seguro Social (INSS). A primeira delas é possuir o Certificado de Entidade Beneficente de Assistência Social (</w:t>
      </w:r>
      <w:proofErr w:type="spellStart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Ceas</w:t>
      </w:r>
      <w:proofErr w:type="spellEnd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).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4. Quais os requisitos para uma entidade obter o Certificado de Entidade Beneficente de Assistência Social?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Estar legalmente constituída no País e em efetivo funcionamento;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possuir inscrição no Conselho Municipal ou Conselho Estadual ou Distrital de Assistência Social;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ser registrada no Conselho Nacional de Assistência Social (CNAS);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aplicar rendas, recursos e resultado integralmente no território nacional e nos objetivos institucionais;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aplicar as subvenções e doações recebidas nas finalidades a que estejam vinculadas;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aplicar 20% da receita bruta em gratuidades;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não distribuir resultados, dividendos, bonificações, participações ou parcela do seu patrimônio;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não remunerar nem conceder nem conceder vantagens a diretores, sócios, instituidores ou benfeitores;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destinar em seus atos constitutivos, no caso de dissolução ou extinção, patrimônio a outra entidade congênere registrada no CNAS;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não constituir patrimônio de indivíduo ou de sociedade sem caráter beneficente de Assistência Social;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prestar serviços de forma permanente e sem discriminação de clientela.</w:t>
      </w:r>
      <w:proofErr w:type="gramStart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proofErr w:type="gramEnd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5. Basta ter o Certificado de Entidade Beneficente de Assistência Social para a entidade ganhar isenção previdenciária automática?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Não. A responsabilidade de conceder o Certificado é do Conselho Nacional de Assistência Social (CNAS). O Certificado é apenas um dos requisitos legais para entidades que pretendem ter isenção previdenciária.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Cabe ao Instituto Nacional do Seguro Social (INSS) avaliar se a entidade tem condições de ser considerada isenta de recolher a cota patronal, conforme a legislação.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6. Quais as exigências para ganhar isenção da cota patronal, segundo a lei?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Que seja reconhecida como de utilidade pública federal e estadual ou do Distrito Federal ou municipal;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que seja portadora do Certificado de Entidade Beneficente de Assistência Social (</w:t>
      </w:r>
      <w:proofErr w:type="spellStart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Ceas</w:t>
      </w:r>
      <w:proofErr w:type="spellEnd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promova a assistência social beneficente a pessoas carentes, especialmente crianças, idosos e portadores de deficiência;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não remunere seus diretores, conselheiros, sócios, instituidores ou benfeitores; vedando-se, ainda, a concessão de vantagens ou benefícios a qualquer título a esses dirigentes;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>- aplique integralmente o eventual resultado operacional de suas atividades na manutenção e desenvolvimento de seus objetivos institucionais.</w:t>
      </w:r>
      <w:proofErr w:type="gramStart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proofErr w:type="gramEnd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7. </w:t>
      </w:r>
      <w:proofErr w:type="gramStart"/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Qual o número de entidades beneficentes de assistência social isentas</w:t>
      </w:r>
      <w:proofErr w:type="gramEnd"/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da cota patronal?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Até junho de 2003, havia 6.545 entidades filantrópicas registradas no Conselho Nacional de Assistência Social, das quais 4.174, ou 64% do total, eram isentas.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8. Além da contribuição patronal para a Previdência, as entidades filantrópicas ficam isentas do pagamento outros tributos?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Sim.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9. Quais?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Contribuições: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- </w:t>
      </w:r>
      <w:proofErr w:type="spellStart"/>
      <w:proofErr w:type="gramStart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Cofins</w:t>
      </w:r>
      <w:proofErr w:type="spellEnd"/>
      <w:proofErr w:type="gramEnd"/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- </w:t>
      </w:r>
      <w:proofErr w:type="spellStart"/>
      <w:proofErr w:type="gramStart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Pis</w:t>
      </w:r>
      <w:proofErr w:type="spellEnd"/>
      <w:proofErr w:type="gramEnd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/Pasep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CPMF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para o salário-educação (FNDE)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CSLL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de preços públicos e tarifas (depende de lei local)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Impostos: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ITR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ITBI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IPVA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IPTU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ITBCM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sobre a renda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sobre serviços de qualquer natureza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ICMS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de importação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IPI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 </w:t>
      </w:r>
    </w:p>
    <w:p w:rsidR="00216FE1" w:rsidRPr="00216FE1" w:rsidRDefault="00216FE1" w:rsidP="00216FE1">
      <w:pPr>
        <w:shd w:val="clear" w:color="auto" w:fill="F9F7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10. A renúncia fiscal das filantrópicas equivale a que valor anual?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A projeção dos técnicos da Previdência Social é que as 4.174 entidades filantrópicas com isenção previdenciária serão responsáveis por uma renúncia da ordem de R$ 2,73 bilhões em 2003 e R$ 2,98 bilhões no próximo ano. Em 2002, o valor ficou em R$ 1,99 bilhão.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11. Uma entidade beneficente de assistência social pode perder a isenção previdenciária?</w:t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Sim, quando o INSS considerar que ela descumpre as exigências legais. Em março deste ano, por uma decisão de governo, auditores fiscais do INSS e da Receita Federal intensificaram </w:t>
      </w:r>
      <w:proofErr w:type="gramStart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seus trabalhos nas 350 maiores entidades filantrópicas registradas</w:t>
      </w:r>
      <w:proofErr w:type="gramEnd"/>
      <w:r w:rsidRPr="00216FE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isentas.</w:t>
      </w:r>
    </w:p>
    <w:p w:rsidR="007854E6" w:rsidRDefault="00216FE1"/>
    <w:sectPr w:rsidR="00785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E1"/>
    <w:rsid w:val="00216FE1"/>
    <w:rsid w:val="00B36094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6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6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2013-01-15T13:25:00Z</dcterms:created>
  <dcterms:modified xsi:type="dcterms:W3CDTF">2013-01-15T13:27:00Z</dcterms:modified>
</cp:coreProperties>
</file>